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29.03.2019 №54.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29.03.2019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2019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2019-2020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22.03.2019 г.  №7</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2019/2020 учебный год, утвержденным приказом ректора от 29.03.2019 №54;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2019/2020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основы проектирования индивидуальных образовательных маршрутов детей 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технологиями развития детей,  согласно индивидуальных образовательных маршрутов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знать санитарно-эпидемиологические нормы и правила обеспечения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знать основные симптомы распространенных заболеваний и меры их профилактики, основы оказания первой помощи при неотложных состояниях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УК-7.10 уметь оказывать первую помощь пострадавшим при возникновении неотложных состояний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УК-7.11 уметь применять меры профилактики травматизма в быту и профессиональной деятельности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безопасные условия жизнедеятельности, в том числе при возникновении чрезвычайных ситуаций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современные угрозы, опасности и риски в киберпространстве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правила безопасного поведения и методы защиты от опасных и чрезвычайных ситуаций в процессе жизнедеятельности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превентивные мероприятия по обеспечению безопасности в образовательной организации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уметь  оценивать факторы риска и выстраивать алгоритм безопасного поведения в условиях чрезвычайных ситуаций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уметь выстраивать алгоритм безопасного поведения в киберпространстве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уметь применять различные методы защиты в опасных и чрезвычайных ситуациях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уметь формировать у детей и подростков мотивацию к здоровому образу жизни и культуру безопасного поведения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уметь организовывать и проводить работу с учащимися, родителями (законными представителями)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владеть приемами организации безопасной и комфортной образовательной среды</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владеть навыками оказания первой помощи в чрезвычайных ситуациях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владеть методами формирования культуры безопасного и ответственного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«Безопасность жизнедеятельности»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ПК-5, УК-7</w:t>
            </w:r>
          </w:p>
        </w:tc>
      </w:tr>
      <w:tr>
        <w:trPr>
          <w:trHeight w:hRule="exact" w:val="138.9152"/>
        </w:trPr>
        <w:tc>
          <w:tcPr>
            <w:tcW w:w="3970" w:type="dxa"/>
          </w:tcPr>
          <w:p/>
        </w:tc>
        <w:tc>
          <w:tcPr>
            <w:tcW w:w="4679" w:type="dxa"/>
          </w:tcPr>
          <w:p/>
        </w:tc>
        <w:tc>
          <w:tcPr>
            <w:tcW w:w="993" w:type="dxa"/>
          </w:tcPr>
          <w:p/>
        </w:tc>
      </w:tr>
      <w:tr>
        <w:trPr>
          <w:trHeight w:hRule="exact" w:val="301.644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жизнедеятельности человека. Организация питания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техносферы. Воздействие негативных факторов на человека. Обеспечение безопасности обучающихся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нормативные и организационные основы охраны труда в организации. Организация медицинских осмотров, в том числе про- 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 тельности каникул. Профилактика несчастных слу- чаев с обучающимися во время пребывания в орга- низации, осуществляющей образовательную дея- 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 противоэпидемических и профилактических меро- 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Пропаганда и обучение навыкам здорового образа жизни, требованиям охраны труда. Влияние курения, употребления алкогольных, сла- 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919.22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здоровья, характеристика компонентов здоровья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 ма. Занятия физической культурой. Психологическая уравновешенность и ее значение для здоровья.</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нормативные и организационные основы охраны труда в организации. Организация медицинских осмотров, в том числе про-филактических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работодателя по обеспечению безопасных условий и охраны труда</w:t>
            </w:r>
          </w:p>
          <w:p>
            <w:pPr>
              <w:jc w:val="both"/>
              <w:spacing w:after="0" w:line="240" w:lineRule="auto"/>
              <w:rPr>
                <w:sz w:val="24"/>
                <w:szCs w:val="24"/>
              </w:rPr>
            </w:pPr>
            <w:r>
              <w:rPr>
                <w:rFonts w:ascii="Times New Roman" w:hAnsi="Times New Roman" w:cs="Times New Roman"/>
                <w:color w:val="#000000"/>
                <w:sz w:val="24"/>
                <w:szCs w:val="24"/>
              </w:rPr>
              <w:t> Основные обязанности работодателя в сфере охраны труда. Основные направления в ра- 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 ботников организации. Организация медицинских осмотров, в том числе профилактиче- ских медицинских осмотров, в связи с занятиями физической культурой и спортом, и дис- пансеризации, в соответствии с законодательством Российской Федерации.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защиты в условиях чрезвычайных ситуаций</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5.9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86.9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2019-2020_ФГОС3++2019_Бак-ОФО-ПО2(НОиИЯ)_plx_Безопасность жизнедеятельности</dc:title>
  <dc:creator>FastReport.NET</dc:creator>
</cp:coreProperties>
</file>